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01F" w:rsidRDefault="0016293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 приложение 23 «</w:t>
      </w:r>
      <w:r>
        <w:rPr>
          <w:rFonts w:ascii="Times New Roman" w:hAnsi="Times New Roman" w:cs="Times New Roman"/>
          <w:bCs/>
          <w:sz w:val="28"/>
          <w:szCs w:val="28"/>
        </w:rPr>
        <w:t>Источники внутреннего финансирования дефицита окружного бюджета на 2025 год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3124"/>
        <w:gridCol w:w="5664"/>
        <w:gridCol w:w="1984"/>
      </w:tblGrid>
      <w:tr w:rsidR="00C7501F">
        <w:trPr>
          <w:trHeight w:val="375"/>
          <w:jc w:val="right"/>
        </w:trPr>
        <w:tc>
          <w:tcPr>
            <w:tcW w:w="10772" w:type="dxa"/>
            <w:gridSpan w:val="3"/>
            <w:vAlign w:val="bottom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«Приложение 23</w:t>
            </w:r>
          </w:p>
        </w:tc>
      </w:tr>
      <w:tr w:rsidR="00C7501F">
        <w:trPr>
          <w:trHeight w:val="657"/>
          <w:jc w:val="right"/>
        </w:trPr>
        <w:tc>
          <w:tcPr>
            <w:tcW w:w="10772" w:type="dxa"/>
            <w:gridSpan w:val="3"/>
            <w:vAlign w:val="bottom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C7501F">
        <w:trPr>
          <w:trHeight w:hRule="exact" w:val="375"/>
          <w:jc w:val="right"/>
        </w:trPr>
        <w:tc>
          <w:tcPr>
            <w:tcW w:w="3124" w:type="dxa"/>
          </w:tcPr>
          <w:p w:rsidR="00C7501F" w:rsidRDefault="00C7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64" w:type="dxa"/>
          </w:tcPr>
          <w:p w:rsidR="00C7501F" w:rsidRDefault="00C7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vAlign w:val="bottom"/>
          </w:tcPr>
          <w:p w:rsidR="00C7501F" w:rsidRDefault="00C750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7501F">
        <w:trPr>
          <w:trHeight w:val="375"/>
          <w:jc w:val="right"/>
        </w:trPr>
        <w:tc>
          <w:tcPr>
            <w:tcW w:w="10772" w:type="dxa"/>
            <w:gridSpan w:val="3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Источники внутреннего финансирования дефицита окружного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2025 год</w:t>
            </w:r>
          </w:p>
        </w:tc>
      </w:tr>
      <w:tr w:rsidR="00C7501F">
        <w:trPr>
          <w:trHeight w:hRule="exact" w:val="375"/>
          <w:jc w:val="right"/>
        </w:trPr>
        <w:tc>
          <w:tcPr>
            <w:tcW w:w="3124" w:type="dxa"/>
          </w:tcPr>
          <w:p w:rsidR="00C7501F" w:rsidRDefault="00C7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64" w:type="dxa"/>
          </w:tcPr>
          <w:p w:rsidR="00C7501F" w:rsidRDefault="00C750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vAlign w:val="bottom"/>
          </w:tcPr>
          <w:p w:rsidR="00C7501F" w:rsidRDefault="00C7501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7501F">
        <w:trPr>
          <w:trHeight w:val="375"/>
          <w:jc w:val="right"/>
        </w:trPr>
        <w:tc>
          <w:tcPr>
            <w:tcW w:w="8788" w:type="dxa"/>
            <w:gridSpan w:val="2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-2 227 971,0 </w:t>
            </w:r>
          </w:p>
        </w:tc>
      </w:tr>
      <w:tr w:rsidR="00C7501F">
        <w:trPr>
          <w:trHeight w:val="375"/>
          <w:jc w:val="right"/>
        </w:trPr>
        <w:tc>
          <w:tcPr>
            <w:tcW w:w="8788" w:type="dxa"/>
            <w:gridSpan w:val="2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-5,8</w:t>
            </w:r>
          </w:p>
        </w:tc>
      </w:tr>
      <w:tr w:rsidR="00C7501F">
        <w:trPr>
          <w:trHeight w:val="375"/>
          <w:jc w:val="right"/>
        </w:trPr>
        <w:tc>
          <w:tcPr>
            <w:tcW w:w="3124" w:type="dxa"/>
            <w:tcBorders>
              <w:bottom w:val="single" w:sz="4" w:space="0" w:color="000000"/>
            </w:tcBorders>
            <w:vAlign w:val="bottom"/>
          </w:tcPr>
          <w:p w:rsidR="00C7501F" w:rsidRDefault="00C7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64" w:type="dxa"/>
            <w:tcBorders>
              <w:bottom w:val="single" w:sz="4" w:space="0" w:color="000000"/>
            </w:tcBorders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C7501F">
        <w:trPr>
          <w:trHeight w:val="20"/>
          <w:jc w:val="right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5664" w:type="dxa"/>
            <w:tcBorders>
              <w:top w:val="single" w:sz="4" w:space="0" w:color="000000"/>
              <w:right w:val="single" w:sz="4" w:space="0" w:color="000000"/>
            </w:tcBorders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 w:rsidR="00C7501F" w:rsidRDefault="00C7501F">
      <w:pPr>
        <w:spacing w:after="0"/>
        <w:rPr>
          <w:sz w:val="2"/>
          <w:szCs w:val="2"/>
        </w:rPr>
      </w:pPr>
    </w:p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3122"/>
        <w:gridCol w:w="5658"/>
        <w:gridCol w:w="1982"/>
      </w:tblGrid>
      <w:tr w:rsidR="00C7501F">
        <w:trPr>
          <w:trHeight w:val="20"/>
          <w:tblHeader/>
          <w:jc w:val="right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  <w:tcBorders>
              <w:top w:val="single" w:sz="4" w:space="0" w:color="000000"/>
            </w:tcBorders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01 00 00 00 00 0000 000</w:t>
            </w:r>
          </w:p>
        </w:tc>
        <w:tc>
          <w:tcPr>
            <w:tcW w:w="5663" w:type="dxa"/>
            <w:tcBorders>
              <w:top w:val="single" w:sz="4" w:space="0" w:color="000000"/>
            </w:tcBorders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2 227 971,0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01 01 00 00 00 0000 000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01 01 00 00 00 0000 700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01 01 00 00 02 0000 710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140 000,0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01 03 00 00 00 0000 000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-113 645,9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01 03 01 00 00 0000 000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-113 645,9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01 03 01 00 00 0000 700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2 457 093,0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01 03 01 00 02 0000 710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2 457 093,0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01 03 01 00 02 5200 710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2 108 000,0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01 03 01 00 02 5900 710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(бюджетные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проектов)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349 093,0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01 03 01 00 00 0000 800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-2 570 738,9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01 03 01 00 02 0000 810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-2 570 738,9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01 03 01 00 02 5002 810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-435 521,5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01 03 01 00 02 2700 810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на финансовое обеспечение реализации инфраструктурных проектов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-19 072,5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01 03 01 00 02 5200 810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(бюджетные кредиты, предоставленные бюджетам субъектов Российской Федерации на пополнение остатка средств на едином счете бюджета)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-2 108 000,0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01 03 01 00 02 5700 810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-8 144,9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01 05 00 00 00 0000 000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922 516,2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01 05 00 00 00 0000 500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01 05 02 00 00 0000 500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01 05 02 01 00 0000 510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01 05 02 01 02 0000 510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-73 079 508,8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01 05 00 00 00 0000 600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01 05 02 00 00 0000 600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01 05 02 01 00 0000 610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01 05 02 01 02 0000 610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74 002 025,0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01 06 00 00 00 0000 000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1 279 100,7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01 06 05 00 00 0000 000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1 279 100,7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01 06 05 00 00 0000 600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3 257 100,7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01 06 05 01 00 0000 600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3 023 750,7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01 06 05 01 02 0000 640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3 023 750,7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01 06 05 02 00 0000 600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233 350,0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01 06 05 02 02 0000 640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233 350,0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01 06 05 00 00 0000 500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-1 978 000,0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01 06 05 01 00 0000 500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-1 928 000,0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-1 928 000,0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01 06 05 02 00 0000 500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16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01 06 05 02 02 0000 540</w:t>
            </w:r>
          </w:p>
        </w:tc>
        <w:tc>
          <w:tcPr>
            <w:tcW w:w="5663" w:type="dxa"/>
          </w:tcPr>
          <w:p w:rsidR="00C7501F" w:rsidRDefault="001629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-50 000,0</w:t>
            </w:r>
          </w:p>
        </w:tc>
      </w:tr>
      <w:tr w:rsidR="00C7501F">
        <w:trPr>
          <w:trHeight w:val="20"/>
          <w:jc w:val="right"/>
        </w:trPr>
        <w:tc>
          <w:tcPr>
            <w:tcW w:w="3125" w:type="dxa"/>
          </w:tcPr>
          <w:p w:rsidR="00C7501F" w:rsidRDefault="00C750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663" w:type="dxa"/>
          </w:tcPr>
          <w:p w:rsidR="00C7501F" w:rsidRDefault="00C7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:rsidR="00C7501F" w:rsidRDefault="001629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».</w:t>
            </w:r>
          </w:p>
        </w:tc>
      </w:tr>
    </w:tbl>
    <w:p w:rsidR="00C7501F" w:rsidRDefault="00C7501F">
      <w:pPr>
        <w:spacing w:after="0"/>
        <w:rPr>
          <w:sz w:val="2"/>
          <w:szCs w:val="2"/>
        </w:rPr>
      </w:pPr>
    </w:p>
    <w:p w:rsidR="00C7501F" w:rsidRDefault="00C750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7501F" w:rsidRDefault="00162939">
      <w:pPr>
        <w:spacing w:after="0" w:line="240" w:lineRule="auto"/>
        <w:ind w:firstLine="7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C7501F" w:rsidRDefault="00C7501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7501F" w:rsidRDefault="00162939">
      <w:pPr>
        <w:spacing w:after="0" w:line="240" w:lineRule="auto"/>
        <w:ind w:firstLine="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опубликования.</w:t>
      </w:r>
    </w:p>
    <w:p w:rsidR="00C7501F" w:rsidRDefault="00634841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B102EDD" wp14:editId="06E286DE">
            <wp:simplePos x="0" y="0"/>
            <wp:positionH relativeFrom="column">
              <wp:posOffset>3964305</wp:posOffset>
            </wp:positionH>
            <wp:positionV relativeFrom="paragraph">
              <wp:posOffset>27305</wp:posOffset>
            </wp:positionV>
            <wp:extent cx="1335405" cy="13411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7501F" w:rsidRDefault="00C7501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10106" w:type="dxa"/>
        <w:tblInd w:w="524" w:type="dxa"/>
        <w:tblLayout w:type="fixed"/>
        <w:tblLook w:val="04A0" w:firstRow="1" w:lastRow="0" w:firstColumn="1" w:lastColumn="0" w:noHBand="0" w:noVBand="1"/>
      </w:tblPr>
      <w:tblGrid>
        <w:gridCol w:w="4267"/>
        <w:gridCol w:w="5839"/>
      </w:tblGrid>
      <w:tr w:rsidR="00C7501F">
        <w:tc>
          <w:tcPr>
            <w:tcW w:w="4267" w:type="dxa"/>
            <w:tcBorders>
              <w:top w:val="nil"/>
              <w:left w:val="nil"/>
              <w:bottom w:val="nil"/>
              <w:right w:val="nil"/>
            </w:tcBorders>
          </w:tcPr>
          <w:p w:rsidR="00C7501F" w:rsidRDefault="001629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Губернатор</w:t>
            </w:r>
          </w:p>
          <w:p w:rsidR="00C7501F" w:rsidRDefault="001629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Чукотского автономного округа</w:t>
            </w:r>
          </w:p>
        </w:tc>
        <w:tc>
          <w:tcPr>
            <w:tcW w:w="5838" w:type="dxa"/>
            <w:tcBorders>
              <w:top w:val="nil"/>
              <w:left w:val="nil"/>
              <w:bottom w:val="nil"/>
              <w:right w:val="nil"/>
            </w:tcBorders>
          </w:tcPr>
          <w:p w:rsidR="00C7501F" w:rsidRDefault="00C7501F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01F" w:rsidRDefault="00162939">
            <w:pPr>
              <w:spacing w:after="0" w:line="240" w:lineRule="auto"/>
              <w:ind w:left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В.Г. Кузнецов</w:t>
            </w:r>
          </w:p>
        </w:tc>
      </w:tr>
    </w:tbl>
    <w:p w:rsidR="00C7501F" w:rsidRDefault="00C7501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7501F" w:rsidRDefault="0016293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г. Анадырь</w:t>
      </w:r>
    </w:p>
    <w:p w:rsidR="00C7501F" w:rsidRDefault="00C7501F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C7501F" w:rsidRDefault="0016293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«19» ноября 2025 года</w:t>
      </w:r>
    </w:p>
    <w:p w:rsidR="00C7501F" w:rsidRDefault="00C7501F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C7501F" w:rsidRDefault="00162939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86- ОЗ</w:t>
      </w:r>
    </w:p>
    <w:sectPr w:rsidR="00C7501F">
      <w:headerReference w:type="even" r:id="rId7"/>
      <w:headerReference w:type="default" r:id="rId8"/>
      <w:headerReference w:type="first" r:id="rId9"/>
      <w:pgSz w:w="11906" w:h="16838"/>
      <w:pgMar w:top="1268" w:right="567" w:bottom="567" w:left="567" w:header="709" w:footer="0" w:gutter="0"/>
      <w:pgNumType w:start="81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55D" w:rsidRDefault="00162939">
      <w:pPr>
        <w:spacing w:after="0" w:line="240" w:lineRule="auto"/>
      </w:pPr>
      <w:r>
        <w:separator/>
      </w:r>
    </w:p>
  </w:endnote>
  <w:endnote w:type="continuationSeparator" w:id="0">
    <w:p w:rsidR="0004055D" w:rsidRDefault="00162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CC"/>
    <w:family w:val="swiss"/>
    <w:pitch w:val="variable"/>
    <w:sig w:usb0="E00082FF" w:usb1="4000205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55D" w:rsidRDefault="00162939">
      <w:pPr>
        <w:spacing w:after="0" w:line="240" w:lineRule="auto"/>
      </w:pPr>
      <w:r>
        <w:separator/>
      </w:r>
    </w:p>
  </w:footnote>
  <w:footnote w:type="continuationSeparator" w:id="0">
    <w:p w:rsidR="0004055D" w:rsidRDefault="00162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01F" w:rsidRDefault="00C7501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01F" w:rsidRDefault="00162939">
    <w:pPr>
      <w:pStyle w:val="ac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34841">
      <w:rPr>
        <w:rFonts w:ascii="Times New Roman" w:hAnsi="Times New Roman"/>
        <w:noProof/>
      </w:rPr>
      <w:t>815</w:t>
    </w:r>
    <w:r>
      <w:rPr>
        <w:rFonts w:ascii="Times New Roman" w:hAnsi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01F" w:rsidRDefault="00162939">
    <w:pPr>
      <w:pStyle w:val="ac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634841">
      <w:rPr>
        <w:rFonts w:ascii="Times New Roman" w:hAnsi="Times New Roman"/>
        <w:noProof/>
      </w:rPr>
      <w:t>811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01F"/>
    <w:rsid w:val="0004055D"/>
    <w:rsid w:val="00162939"/>
    <w:rsid w:val="00634841"/>
    <w:rsid w:val="009D3EFB"/>
    <w:rsid w:val="00C21338"/>
    <w:rsid w:val="00C7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8E53FC1-EC00-46A4-90B0-B3FD60AE9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00B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B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0B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B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0B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B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0B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0B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0B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00B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200B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200B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00BB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200BB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200B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200B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200B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200BB7"/>
    <w:rPr>
      <w:rFonts w:eastAsiaTheme="majorEastAsia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200BB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200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200BB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200BB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200BB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200BB7"/>
    <w:rPr>
      <w:b/>
      <w:bCs/>
      <w:smallCaps/>
      <w:color w:val="2F5496" w:themeColor="accent1" w:themeShade="BF"/>
      <w:spacing w:val="5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D95D20"/>
  </w:style>
  <w:style w:type="character" w:customStyle="1" w:styleId="ad">
    <w:name w:val="Нижний колонтитул Знак"/>
    <w:basedOn w:val="a0"/>
    <w:link w:val="ae"/>
    <w:uiPriority w:val="99"/>
    <w:qFormat/>
    <w:rsid w:val="00D95D20"/>
  </w:style>
  <w:style w:type="paragraph" w:styleId="a4">
    <w:name w:val="Title"/>
    <w:basedOn w:val="a"/>
    <w:next w:val="af"/>
    <w:link w:val="a3"/>
    <w:uiPriority w:val="10"/>
    <w:qFormat/>
    <w:rsid w:val="00200B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Body Text"/>
    <w:basedOn w:val="a"/>
    <w:pPr>
      <w:spacing w:after="140"/>
    </w:pPr>
  </w:style>
  <w:style w:type="paragraph" w:styleId="af0">
    <w:name w:val="List"/>
    <w:basedOn w:val="af"/>
    <w:rPr>
      <w:rFonts w:cs="Noto Sans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styleId="af2">
    <w:name w:val="index heading"/>
    <w:basedOn w:val="a"/>
    <w:qFormat/>
    <w:pPr>
      <w:suppressLineNumbers/>
    </w:pPr>
    <w:rPr>
      <w:rFonts w:cs="Noto Sans"/>
    </w:rPr>
  </w:style>
  <w:style w:type="paragraph" w:styleId="a6">
    <w:name w:val="Subtitle"/>
    <w:basedOn w:val="a"/>
    <w:next w:val="a"/>
    <w:link w:val="a5"/>
    <w:uiPriority w:val="11"/>
    <w:qFormat/>
    <w:rsid w:val="00200B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rsid w:val="00200BB7"/>
    <w:pPr>
      <w:spacing w:before="160"/>
      <w:jc w:val="center"/>
    </w:pPr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200BB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200B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link w:val="ab"/>
    <w:uiPriority w:val="99"/>
    <w:unhideWhenUsed/>
    <w:rsid w:val="00D95D20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link w:val="ad"/>
    <w:uiPriority w:val="99"/>
    <w:unhideWhenUsed/>
    <w:rsid w:val="00D95D20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af4">
    <w:name w:val="Без списка"/>
    <w:uiPriority w:val="99"/>
    <w:semiHidden/>
    <w:unhideWhenUsed/>
    <w:qFormat/>
  </w:style>
  <w:style w:type="table" w:styleId="af5">
    <w:name w:val="Table Grid"/>
    <w:basedOn w:val="a1"/>
    <w:uiPriority w:val="39"/>
    <w:rsid w:val="00D95D2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Чепурнова Оксана Валерьевна</dc:creator>
  <cp:lastModifiedBy>Чепурнова Оксана Валерьевна</cp:lastModifiedBy>
  <cp:revision>3</cp:revision>
  <dcterms:created xsi:type="dcterms:W3CDTF">2025-11-19T03:46:00Z</dcterms:created>
  <dcterms:modified xsi:type="dcterms:W3CDTF">2025-11-19T03:56:00Z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2025-10-26T06:44:00Z</dcterms:created>
  <dc:creator>Пушаев Джангр Петрович</dc:creator>
  <dc:description/>
  <dc:language>ru-RU</dc:language>
  <cp:lastModifiedBy/>
  <cp:lastPrinted>2025-11-17T14:44:13Z</cp:lastPrinted>
  <dcterms:modified xsi:type="dcterms:W3CDTF">2025-11-17T16:16:35Z</dcterms:modified>
  <cp:revision>10</cp:revision>
  <dc:subject/>
  <dc:title/>
</cp:coreProperties>
</file>